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4670" w14:textId="77777777" w:rsidR="00F422D3" w:rsidRDefault="00F422D3" w:rsidP="004D482C">
      <w:pPr>
        <w:pStyle w:val="Titul1"/>
        <w:jc w:val="both"/>
      </w:pPr>
      <w:r>
        <w:t xml:space="preserve">SMLOUVA O DÍLO </w:t>
      </w:r>
    </w:p>
    <w:p w14:paraId="1F56212A" w14:textId="10660273" w:rsidR="00F422D3" w:rsidRDefault="00F422D3" w:rsidP="004D482C">
      <w:pPr>
        <w:pStyle w:val="Titul2"/>
      </w:pPr>
      <w:r>
        <w:t>Název zakázky:</w:t>
      </w:r>
      <w:r w:rsidR="003F0E62">
        <w:t xml:space="preserve"> </w:t>
      </w:r>
      <w:r>
        <w:t>„</w:t>
      </w:r>
      <w:r w:rsidR="008B288C" w:rsidRPr="008B288C">
        <w:t xml:space="preserve">Vypracování projektové dokumentace „Oprava kolejí a výhybek v </w:t>
      </w:r>
      <w:proofErr w:type="spellStart"/>
      <w:r w:rsidR="008B288C" w:rsidRPr="008B288C">
        <w:t>žst</w:t>
      </w:r>
      <w:proofErr w:type="spellEnd"/>
      <w:r w:rsidR="008B288C" w:rsidRPr="008B288C">
        <w:t>. Meziměstí</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 xml:space="preserve">Petrem </w:t>
      </w:r>
      <w:r w:rsidR="00EB421D" w:rsidRPr="008B288C">
        <w:rPr>
          <w:rFonts w:eastAsia="Times New Roman" w:cs="Arial"/>
          <w:b/>
          <w:snapToGrid w:val="0"/>
          <w:lang w:eastAsia="cs-CZ"/>
        </w:rPr>
        <w:t>Vodičkou</w:t>
      </w:r>
      <w:r w:rsidRPr="008B288C">
        <w:rPr>
          <w:rFonts w:eastAsia="Times New Roman" w:cs="Arial"/>
          <w:snapToGrid w:val="0"/>
          <w:lang w:eastAsia="cs-CZ"/>
        </w:rPr>
        <w:t>, ředitelem Oblastního ředitelství Hradec Králové</w:t>
      </w:r>
      <w:r w:rsidR="00EB421D" w:rsidRPr="008B288C">
        <w:rPr>
          <w:rFonts w:eastAsia="Times New Roman" w:cs="Arial"/>
          <w:snapToGrid w:val="0"/>
          <w:lang w:eastAsia="cs-CZ"/>
        </w:rPr>
        <w:t>, na základě pověření č. 3053 ze dne 10. 3. 2021</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340225A4" w14:textId="77777777" w:rsidR="008B288C" w:rsidRPr="001C2A3F" w:rsidRDefault="008B288C" w:rsidP="008B288C">
      <w:pPr>
        <w:numPr>
          <w:ilvl w:val="0"/>
          <w:numId w:val="12"/>
        </w:numPr>
        <w:tabs>
          <w:tab w:val="left" w:pos="567"/>
          <w:tab w:val="left" w:pos="3544"/>
        </w:tabs>
        <w:spacing w:after="0" w:line="240" w:lineRule="auto"/>
        <w:ind w:left="1134" w:hanging="425"/>
        <w:rPr>
          <w:rFonts w:eastAsia="Times New Roman" w:cs="Arial"/>
          <w:snapToGrid w:val="0"/>
          <w:lang w:eastAsia="cs-CZ"/>
        </w:rPr>
      </w:pPr>
      <w:r w:rsidRPr="005755FA">
        <w:rPr>
          <w:rFonts w:eastAsia="Times New Roman" w:cs="Arial"/>
          <w:snapToGrid w:val="0"/>
          <w:lang w:eastAsia="cs-CZ"/>
        </w:rPr>
        <w:t>Ing. Lenka Staňková tel.: +420 724 717 539, e-mail: Stankova@spravazeleznic</w:t>
      </w:r>
      <w:r>
        <w:rPr>
          <w:rFonts w:eastAsia="Times New Roman" w:cs="Arial"/>
          <w:snapToGrid w:val="0"/>
          <w:lang w:eastAsia="cs-CZ"/>
        </w:rPr>
        <w:t>.cz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43A818F0" w:rsidR="00C63E53" w:rsidRDefault="00C63E53" w:rsidP="004D482C">
      <w:pPr>
        <w:pStyle w:val="Textbezodsazen"/>
        <w:ind w:left="567"/>
        <w:rPr>
          <w:b/>
        </w:rPr>
      </w:pPr>
      <w:r>
        <w:t>ev. č. registru VZ</w:t>
      </w:r>
      <w:r w:rsidRPr="00B42F40">
        <w:t xml:space="preserve">: </w:t>
      </w:r>
      <w:r w:rsidR="004973DA">
        <w:t>64023060</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lastRenderedPageBreak/>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w:t>
      </w:r>
      <w:proofErr w:type="gramStart"/>
      <w:r w:rsidRPr="0020183E">
        <w:rPr>
          <w:rFonts w:eastAsia="Times New Roman" w:cs="Arial"/>
          <w:snapToGrid w:val="0"/>
          <w:highlight w:val="yellow"/>
          <w:lang w:eastAsia="cs-CZ"/>
        </w:rPr>
        <w:t>VLOŽÍ</w:t>
      </w:r>
      <w:proofErr w:type="gramEnd"/>
      <w:r w:rsidRPr="0020183E">
        <w:rPr>
          <w:rFonts w:eastAsia="Times New Roman" w:cs="Arial"/>
          <w:snapToGrid w:val="0"/>
          <w:highlight w:val="yellow"/>
          <w:lang w:eastAsia="cs-CZ"/>
        </w:rPr>
        <w:t xml:space="preserve">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8B288C"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8B288C">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w:t>
      </w:r>
      <w:proofErr w:type="gramStart"/>
      <w:r w:rsidRPr="0020183E">
        <w:rPr>
          <w:rFonts w:eastAsia="Times New Roman" w:cs="Arial"/>
          <w:snapToGrid w:val="0"/>
          <w:highlight w:val="yellow"/>
          <w:lang w:eastAsia="cs-CZ"/>
        </w:rPr>
        <w:t>VLOŽÍ</w:t>
      </w:r>
      <w:proofErr w:type="gramEnd"/>
      <w:r w:rsidRPr="0020183E">
        <w:rPr>
          <w:rFonts w:eastAsia="Times New Roman" w:cs="Arial"/>
          <w:snapToGrid w:val="0"/>
          <w:highlight w:val="yellow"/>
          <w:lang w:eastAsia="cs-CZ"/>
        </w:rPr>
        <w:t xml:space="preserve">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2AB1A6AB"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A97C2D" w:rsidRPr="008B288C">
        <w:t>Vypracování projektové dokumentace „Oprava kolejí a výhybek v</w:t>
      </w:r>
      <w:r w:rsidR="00A97C2D">
        <w:t> </w:t>
      </w:r>
      <w:proofErr w:type="spellStart"/>
      <w:r w:rsidR="00A97C2D" w:rsidRPr="008B288C">
        <w:t>žst</w:t>
      </w:r>
      <w:proofErr w:type="spellEnd"/>
      <w:r w:rsidR="00A97C2D" w:rsidRPr="008B288C">
        <w:t>.</w:t>
      </w:r>
      <w:r w:rsidR="00A97C2D">
        <w:t> </w:t>
      </w:r>
      <w:r w:rsidR="00A97C2D" w:rsidRPr="008B288C">
        <w:t>Meziměstí</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w:t>
      </w:r>
      <w:proofErr w:type="gramStart"/>
      <w:r w:rsidRPr="00A02B1F">
        <w:t>EN,TNŽ</w:t>
      </w:r>
      <w:proofErr w:type="gram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7B86E78D" w:rsidR="007D0186" w:rsidRPr="00324258" w:rsidRDefault="007D0186" w:rsidP="004D482C">
      <w:pPr>
        <w:pStyle w:val="Text1-1"/>
      </w:pPr>
      <w:r w:rsidRPr="00324258">
        <w:t xml:space="preserve">Název díla: </w:t>
      </w:r>
      <w:r w:rsidR="00CE5685" w:rsidRPr="00CE5685">
        <w:t xml:space="preserve">Vypracování projektové dokumentace „Oprava kolejí a výhybek v </w:t>
      </w:r>
      <w:proofErr w:type="spellStart"/>
      <w:r w:rsidR="00CE5685" w:rsidRPr="00CE5685">
        <w:t>žst</w:t>
      </w:r>
      <w:proofErr w:type="spellEnd"/>
      <w:r w:rsidR="00CE5685" w:rsidRPr="00CE5685">
        <w:t>. Meziměstí</w:t>
      </w:r>
    </w:p>
    <w:p w14:paraId="35F362D5" w14:textId="41FEFFBA"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CE5685" w:rsidRPr="00456814">
        <w:rPr>
          <w:noProof/>
        </w:rPr>
        <w:t>opravu staničních kolejí, výhybek a nástupišť v žst. Meziměstí</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w:t>
      </w:r>
      <w:r w:rsidR="00CE5685">
        <w:rPr>
          <w:szCs w:val="22"/>
        </w:rPr>
        <w:t> </w:t>
      </w:r>
      <w:r>
        <w:rPr>
          <w:szCs w:val="22"/>
        </w:rPr>
        <w:t>konkrétně je </w:t>
      </w:r>
      <w:r w:rsidRPr="000D6FF4">
        <w:rPr>
          <w:szCs w:val="22"/>
        </w:rPr>
        <w:t>rozsah díla popsán v</w:t>
      </w:r>
      <w:r>
        <w:rPr>
          <w:szCs w:val="22"/>
        </w:rPr>
        <w:t> dokumentaci, jež byla zveřejněna jako</w:t>
      </w:r>
      <w:r w:rsidR="00CE5685">
        <w:rPr>
          <w:szCs w:val="22"/>
        </w:rPr>
        <w:t> </w:t>
      </w:r>
      <w:r>
        <w:rPr>
          <w:szCs w:val="22"/>
        </w:rPr>
        <w:t>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Technická dokumentace</w:t>
      </w:r>
    </w:p>
    <w:p w14:paraId="3C54A08B"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Situace</w:t>
      </w:r>
    </w:p>
    <w:p w14:paraId="159FBF0D"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Podélný profil</w:t>
      </w:r>
    </w:p>
    <w:p w14:paraId="2C71254C"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Vzorové příčné řezy koleje a přejezdu</w:t>
      </w:r>
    </w:p>
    <w:p w14:paraId="0BB0AAB5"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Vytyčovací výkres</w:t>
      </w:r>
    </w:p>
    <w:p w14:paraId="139189EB"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Technologický postup výlukových prací</w:t>
      </w:r>
    </w:p>
    <w:p w14:paraId="5164BDA2"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Položkový soupis prací s výkazem výměr (oceněný + neoceněný)</w:t>
      </w:r>
    </w:p>
    <w:p w14:paraId="20CBD1B6" w14:textId="77777777" w:rsidR="00557DDF" w:rsidRPr="00CE5685" w:rsidRDefault="00557DDF" w:rsidP="004D482C">
      <w:pPr>
        <w:pStyle w:val="Nadpis1-1"/>
        <w:numPr>
          <w:ilvl w:val="0"/>
          <w:numId w:val="15"/>
        </w:numPr>
        <w:jc w:val="both"/>
        <w:rPr>
          <w:rFonts w:asciiTheme="minorHAnsi" w:hAnsiTheme="minorHAnsi"/>
          <w:b w:val="0"/>
          <w:caps w:val="0"/>
          <w:sz w:val="18"/>
        </w:rPr>
      </w:pPr>
      <w:r w:rsidRPr="00CE5685">
        <w:rPr>
          <w:rFonts w:asciiTheme="minorHAnsi" w:hAnsiTheme="minorHAnsi"/>
          <w:b w:val="0"/>
          <w:caps w:val="0"/>
          <w:sz w:val="18"/>
        </w:rPr>
        <w:t>Dokladová část (výpis z katastru nemovitostí, kopie katastrální mapy, příp. informací o</w:t>
      </w:r>
      <w:r w:rsidR="008B2FF7" w:rsidRPr="00CE5685">
        <w:rPr>
          <w:rFonts w:asciiTheme="minorHAnsi" w:hAnsiTheme="minorHAnsi"/>
          <w:b w:val="0"/>
          <w:caps w:val="0"/>
          <w:sz w:val="18"/>
        </w:rPr>
        <w:t> </w:t>
      </w:r>
      <w:r w:rsidRPr="00CE5685">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w:t>
      </w:r>
      <w:proofErr w:type="gramStart"/>
      <w:r w:rsidRPr="00624262">
        <w:t>obdrží</w:t>
      </w:r>
      <w:proofErr w:type="gramEnd"/>
      <w:r w:rsidRPr="00624262">
        <w:t xml:space="preserve">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následně povinnost zapracovat připomínky či zaslat důvod </w:t>
      </w:r>
      <w:r w:rsidR="00171486">
        <w:t xml:space="preserve">jejich nepřijetí Objednateli </w:t>
      </w:r>
      <w:r w:rsidR="00171486">
        <w:lastRenderedPageBreak/>
        <w:t>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3B7AE000" w14:textId="77777777" w:rsidR="002A43A4" w:rsidRPr="0029677D" w:rsidRDefault="002A43A4" w:rsidP="002A43A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w:t>
      </w:r>
      <w:r w:rsidRPr="0029677D">
        <w:lastRenderedPageBreak/>
        <w:t xml:space="preserve">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3F02934" w14:textId="77777777" w:rsidR="002A43A4" w:rsidRPr="0029677D" w:rsidRDefault="002A43A4" w:rsidP="002A43A4">
      <w:pPr>
        <w:pStyle w:val="Text1-1"/>
      </w:pPr>
      <w:r w:rsidRPr="0029677D">
        <w:t>Zhotovitel prohlašuje, že on, ani žádný z jeho poddodavatelů nebo jiných osob, jejichž způsobilost byla využita ve smyslu evropských směrnic o zadávání veřejných zakázek, nejsou osobami:</w:t>
      </w:r>
    </w:p>
    <w:p w14:paraId="5F699B7C" w14:textId="7A83DE37" w:rsidR="002A43A4" w:rsidRPr="0029677D" w:rsidRDefault="00AD34E6" w:rsidP="002A43A4">
      <w:pPr>
        <w:pStyle w:val="Text1-2"/>
      </w:pPr>
      <w:r w:rsidRPr="00AD34E6">
        <w:t>Dle článku 5k nařízení Rady (EU) č. 833/2014 ze dne 31. července 2014 o omezujících opatřeních vzhledem k činnostem Ruska destabilizujícím situaci na Ukrajině, ve znění pozdějších předpisů</w:t>
      </w:r>
      <w:r w:rsidRPr="00AD34E6">
        <w:rPr>
          <w:vertAlign w:val="superscript"/>
        </w:rPr>
        <w:footnoteReference w:id="1"/>
      </w:r>
      <w:r w:rsidRPr="00AD34E6">
        <w:t xml:space="preserve"> (dále jen </w:t>
      </w:r>
      <w:r w:rsidRPr="00AD34E6">
        <w:rPr>
          <w:b/>
          <w:i/>
        </w:rPr>
        <w:t>„Nařízení č. 833/2014“</w:t>
      </w:r>
      <w:r w:rsidRPr="00AD34E6">
        <w:t>)</w:t>
      </w:r>
      <w:r>
        <w:t>, jimž</w:t>
      </w:r>
      <w:r w:rsidRPr="00AD34E6">
        <w:t xml:space="preserve">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2A43A4" w:rsidRPr="0029677D">
        <w:t xml:space="preserve">, </w:t>
      </w:r>
    </w:p>
    <w:p w14:paraId="717EDDF4" w14:textId="77777777" w:rsidR="002A43A4" w:rsidRPr="0029677D" w:rsidRDefault="002A43A4" w:rsidP="002A43A4">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2B15C7C9" w14:textId="0DC6DAD5" w:rsidR="002A43A4" w:rsidRPr="0029677D" w:rsidRDefault="002A43A4" w:rsidP="002A43A4">
      <w:pPr>
        <w:pStyle w:val="Text1-1"/>
      </w:pPr>
      <w:r w:rsidRPr="0029677D">
        <w:t xml:space="preserve">Je-li Zhotovitelem sdružení více osob, platí podmínky dle odstavce </w:t>
      </w:r>
      <w:r>
        <w:t>11</w:t>
      </w:r>
      <w:r w:rsidRPr="0029677D">
        <w:t xml:space="preserve">.1 a </w:t>
      </w:r>
      <w:r>
        <w:t>11</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D9E4474" w14:textId="77777777" w:rsidR="002A43A4" w:rsidRPr="0029677D" w:rsidRDefault="002A43A4" w:rsidP="002A43A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BB51F8F" w14:textId="77777777" w:rsidR="002A43A4" w:rsidRPr="0029677D" w:rsidRDefault="002A43A4" w:rsidP="002A43A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E888FE2" w14:textId="77777777" w:rsidR="002A43A4" w:rsidRPr="0029677D" w:rsidRDefault="002A43A4" w:rsidP="002A43A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04B043" w14:textId="6473FC9A" w:rsidR="002A43A4" w:rsidRPr="0029677D" w:rsidRDefault="002A43A4" w:rsidP="002A43A4">
      <w:pPr>
        <w:pStyle w:val="Text1-1"/>
      </w:pPr>
      <w:proofErr w:type="gramStart"/>
      <w:r w:rsidRPr="0029677D">
        <w:t>Ukáží</w:t>
      </w:r>
      <w:proofErr w:type="gramEnd"/>
      <w:r w:rsidRPr="0029677D">
        <w:t xml:space="preserve">-li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rsidR="006A7DD6">
        <w:t>11</w:t>
      </w:r>
      <w:r>
        <w:t>.5</w:t>
      </w:r>
      <w:r w:rsidRPr="0029677D">
        <w:t xml:space="preserve"> nebo </w:t>
      </w:r>
      <w:r w:rsidR="006A7DD6">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w:t>
      </w:r>
      <w:proofErr w:type="gramStart"/>
      <w:r w:rsidRPr="00E16314">
        <w:rPr>
          <w:rFonts w:ascii="Verdana" w:hAnsi="Verdana" w:cstheme="minorHAnsi"/>
        </w:rPr>
        <w:t>VLOŽÍ</w:t>
      </w:r>
      <w:proofErr w:type="gramEnd"/>
      <w:r w:rsidRPr="00E16314">
        <w:rPr>
          <w:rFonts w:ascii="Verdana" w:hAnsi="Verdana" w:cstheme="minorHAnsi"/>
        </w:rPr>
        <w:t xml:space="preserve">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 xml:space="preserve">Jestliže smluvní strana </w:t>
      </w:r>
      <w:proofErr w:type="gramStart"/>
      <w:r w:rsidRPr="00E87509">
        <w:t>označí</w:t>
      </w:r>
      <w:proofErr w:type="gramEnd"/>
      <w:r w:rsidRPr="00E87509">
        <w:t xml:space="preserve">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w:t>
      </w:r>
      <w:r w:rsidRPr="00E87509">
        <w:lastRenderedPageBreak/>
        <w:t xml:space="preserve">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 xml:space="preserve">hotovitel </w:t>
      </w:r>
      <w:proofErr w:type="gramStart"/>
      <w:r w:rsidR="00D330ED">
        <w:t>neoznačí</w:t>
      </w:r>
      <w:proofErr w:type="gramEnd"/>
      <w:r w:rsidR="00D330ED">
        <w:t xml:space="preserve">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4D482C">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 xml:space="preserve">Součást Smlouvy </w:t>
      </w:r>
      <w:proofErr w:type="gramStart"/>
      <w:r w:rsidRPr="00F97DBD">
        <w:t>tvoří</w:t>
      </w:r>
      <w:proofErr w:type="gramEnd"/>
      <w:r w:rsidRPr="00F97DBD">
        <w:t xml:space="preserve">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CE5685">
        <w:t xml:space="preserve">díla </w:t>
      </w:r>
      <w:r w:rsidR="009477C4" w:rsidRPr="00CE5685">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2E5C605" w14:textId="77777777" w:rsidR="00406CE9" w:rsidRPr="00406CE9"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D482C">
      <w:pPr>
        <w:spacing w:after="120"/>
        <w:jc w:val="both"/>
        <w:rPr>
          <w:rFonts w:ascii="Verdana" w:eastAsia="Verdana" w:hAnsi="Verdana" w:cs="Times New Roman"/>
        </w:rPr>
      </w:pP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2F9E1311" w14:textId="42C127ED" w:rsidR="003E07CB" w:rsidRPr="00406CE9" w:rsidRDefault="00406CE9" w:rsidP="004D482C">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4D482C">
      <w:pPr>
        <w:jc w:val="both"/>
      </w:pPr>
      <w:r>
        <w:br w:type="page"/>
      </w:r>
    </w:p>
    <w:p w14:paraId="7A91BF48" w14:textId="77777777" w:rsidR="00CB4F6D" w:rsidRDefault="00CB4F6D" w:rsidP="004D482C">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w:t>
      </w:r>
      <w:proofErr w:type="gramStart"/>
      <w:r>
        <w:t>tvoří</w:t>
      </w:r>
      <w:proofErr w:type="gramEnd"/>
      <w:r>
        <w:t xml:space="preserve">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w:t>
      </w:r>
      <w:r w:rsidRPr="00CE5685">
        <w:rPr>
          <w:b/>
          <w:bCs/>
        </w:rPr>
        <w:t>díla dle stavebních objektů</w:t>
      </w:r>
    </w:p>
    <w:p w14:paraId="408553B4" w14:textId="77777777" w:rsidR="00CE5685" w:rsidRDefault="00CE5685" w:rsidP="00CE5685">
      <w:pPr>
        <w:pStyle w:val="Nadpisbezsl1-2"/>
        <w:rPr>
          <w:sz w:val="18"/>
        </w:rPr>
      </w:pPr>
      <w:r>
        <w:rPr>
          <w:sz w:val="18"/>
        </w:rPr>
        <w:t>PS 01 Zabezpečovací a sdělovací zařízení</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CE5685" w:rsidRPr="00C27799" w14:paraId="5F37DBF5" w14:textId="77777777" w:rsidTr="00974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55E8F462" w14:textId="77777777" w:rsidR="00CE5685" w:rsidRDefault="00CE5685" w:rsidP="00974925">
            <w:pPr>
              <w:pStyle w:val="Tabulka"/>
              <w:rPr>
                <w:rStyle w:val="Tun"/>
                <w:sz w:val="16"/>
                <w:szCs w:val="16"/>
              </w:rPr>
            </w:pPr>
            <w:r>
              <w:rPr>
                <w:rStyle w:val="Tun"/>
                <w:sz w:val="16"/>
                <w:szCs w:val="16"/>
              </w:rPr>
              <w:t>Položka</w:t>
            </w:r>
          </w:p>
        </w:tc>
        <w:tc>
          <w:tcPr>
            <w:tcW w:w="3216" w:type="dxa"/>
            <w:hideMark/>
          </w:tcPr>
          <w:p w14:paraId="64F44531" w14:textId="77777777" w:rsidR="00CE5685"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A0F50BB" w14:textId="77777777"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898C6F1" w14:textId="22AA8D8D"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p>
        </w:tc>
        <w:tc>
          <w:tcPr>
            <w:tcW w:w="1293" w:type="dxa"/>
            <w:hideMark/>
          </w:tcPr>
          <w:p w14:paraId="6814B715" w14:textId="3D1286B7"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p>
        </w:tc>
        <w:tc>
          <w:tcPr>
            <w:tcW w:w="1321" w:type="dxa"/>
            <w:hideMark/>
          </w:tcPr>
          <w:p w14:paraId="7DC08EEB" w14:textId="19CAAD54"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p>
        </w:tc>
      </w:tr>
      <w:tr w:rsidR="00CE5685" w14:paraId="0A8C8799" w14:textId="77777777" w:rsidTr="00974925">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CFE3951" w14:textId="77777777" w:rsidR="00CE5685" w:rsidRPr="00AC042B" w:rsidRDefault="00CE5685" w:rsidP="00974925">
            <w:pPr>
              <w:pStyle w:val="Tabulka"/>
            </w:pPr>
            <w:r w:rsidRPr="00AC042B">
              <w:t>1</w:t>
            </w:r>
          </w:p>
        </w:tc>
        <w:tc>
          <w:tcPr>
            <w:tcW w:w="3216" w:type="dxa"/>
            <w:tcBorders>
              <w:top w:val="single" w:sz="2" w:space="0" w:color="auto"/>
              <w:left w:val="single" w:sz="2" w:space="0" w:color="auto"/>
              <w:bottom w:val="single" w:sz="2" w:space="0" w:color="auto"/>
              <w:right w:val="single" w:sz="2" w:space="0" w:color="auto"/>
            </w:tcBorders>
            <w:hideMark/>
          </w:tcPr>
          <w:p w14:paraId="3FE9C72C" w14:textId="77777777" w:rsidR="00CE5685" w:rsidRPr="00AC042B" w:rsidRDefault="00CE5685" w:rsidP="00974925">
            <w:pPr>
              <w:pStyle w:val="Tabulka"/>
              <w:cnfStyle w:val="000000000000" w:firstRow="0" w:lastRow="0" w:firstColumn="0" w:lastColumn="0" w:oddVBand="0" w:evenVBand="0" w:oddHBand="0" w:evenHBand="0" w:firstRowFirstColumn="0" w:firstRowLastColumn="0" w:lastRowFirstColumn="0" w:lastRowLastColumn="0"/>
            </w:pPr>
            <w:r w:rsidRPr="00AC042B">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68AA872" w14:textId="77777777" w:rsidR="00CE5685" w:rsidRPr="009477C4" w:rsidRDefault="00CE5685" w:rsidP="00974925">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06CDF81" w14:textId="2164B21D" w:rsidR="00CE5685" w:rsidRPr="006226FD" w:rsidRDefault="006226FD" w:rsidP="00974925">
            <w:pPr>
              <w:pStyle w:val="Tabulka"/>
              <w:cnfStyle w:val="000000000000" w:firstRow="0" w:lastRow="0" w:firstColumn="0" w:lastColumn="0" w:oddVBand="0" w:evenVBand="0" w:oddHBand="0" w:evenHBand="0" w:firstRowFirstColumn="0" w:firstRowLastColumn="0" w:lastRowFirstColumn="0" w:lastRowLastColumn="0"/>
              <w:rPr>
                <w:sz w:val="10"/>
                <w:szCs w:val="10"/>
              </w:rPr>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tcPr>
          <w:p w14:paraId="3BC71348" w14:textId="1C8E966A" w:rsidR="00CE5685" w:rsidRP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rPr>
                <w:sz w:val="10"/>
                <w:szCs w:val="10"/>
              </w:rPr>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tcPr>
          <w:p w14:paraId="5F3B8C91" w14:textId="069B02A8" w:rsidR="00CE5685" w:rsidRP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rPr>
                <w:sz w:val="10"/>
                <w:szCs w:val="10"/>
              </w:rPr>
            </w:pPr>
            <w:r w:rsidRPr="006226FD">
              <w:rPr>
                <w:sz w:val="10"/>
                <w:szCs w:val="10"/>
                <w:highlight w:val="yellow"/>
              </w:rPr>
              <w:t>[</w:t>
            </w: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6226FD" w14:paraId="77D99B8E" w14:textId="77777777" w:rsidTr="00233F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3AA1CB" w14:textId="77777777" w:rsidR="006226FD" w:rsidRPr="00AC042B" w:rsidRDefault="006226FD" w:rsidP="006226FD">
            <w:pPr>
              <w:pStyle w:val="Tabulka"/>
            </w:pPr>
            <w:r w:rsidRPr="00AC042B">
              <w:t>2</w:t>
            </w:r>
          </w:p>
        </w:tc>
        <w:tc>
          <w:tcPr>
            <w:tcW w:w="3216" w:type="dxa"/>
            <w:tcBorders>
              <w:top w:val="single" w:sz="2" w:space="0" w:color="auto"/>
              <w:left w:val="single" w:sz="2" w:space="0" w:color="auto"/>
              <w:bottom w:val="single" w:sz="2" w:space="0" w:color="auto"/>
              <w:right w:val="single" w:sz="2" w:space="0" w:color="auto"/>
            </w:tcBorders>
            <w:hideMark/>
          </w:tcPr>
          <w:p w14:paraId="005DBED8" w14:textId="77777777" w:rsidR="006226FD" w:rsidRPr="00AC042B"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AC042B">
              <w:t>Textové zprávy</w:t>
            </w:r>
          </w:p>
        </w:tc>
        <w:tc>
          <w:tcPr>
            <w:tcW w:w="977" w:type="dxa"/>
            <w:tcBorders>
              <w:top w:val="single" w:sz="2" w:space="0" w:color="auto"/>
              <w:left w:val="single" w:sz="2" w:space="0" w:color="auto"/>
              <w:bottom w:val="single" w:sz="2" w:space="0" w:color="auto"/>
              <w:right w:val="single" w:sz="2" w:space="0" w:color="auto"/>
            </w:tcBorders>
            <w:hideMark/>
          </w:tcPr>
          <w:p w14:paraId="276F0CA2" w14:textId="77777777" w:rsidR="006226FD" w:rsidRPr="009477C4" w:rsidRDefault="006226FD" w:rsidP="006226F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A44641D" w14:textId="3DDA7227"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5CC19CC7" w14:textId="560EBF09"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0AA85BE2" w14:textId="6C9D8F18"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 – POZOR VKLÁDÁ SE CENA ZA VŠECHNA VYHOTOVENÍ]</w:t>
            </w:r>
          </w:p>
        </w:tc>
      </w:tr>
      <w:tr w:rsidR="006226FD" w14:paraId="0296EDEC" w14:textId="77777777" w:rsidTr="00233F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2318819" w14:textId="77777777" w:rsidR="006226FD" w:rsidRPr="00AC042B" w:rsidRDefault="006226FD" w:rsidP="006226FD">
            <w:pPr>
              <w:pStyle w:val="Tabulka"/>
            </w:pPr>
            <w:r w:rsidRPr="00AC042B">
              <w:t>3</w:t>
            </w:r>
          </w:p>
        </w:tc>
        <w:tc>
          <w:tcPr>
            <w:tcW w:w="3216" w:type="dxa"/>
            <w:tcBorders>
              <w:top w:val="single" w:sz="2" w:space="0" w:color="auto"/>
              <w:left w:val="single" w:sz="2" w:space="0" w:color="auto"/>
              <w:bottom w:val="single" w:sz="2" w:space="0" w:color="auto"/>
              <w:right w:val="single" w:sz="2" w:space="0" w:color="auto"/>
            </w:tcBorders>
            <w:hideMark/>
          </w:tcPr>
          <w:p w14:paraId="713F2E7A" w14:textId="77777777" w:rsidR="006226FD" w:rsidRPr="00AC042B"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AC042B">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FE6E0DA" w14:textId="77777777" w:rsidR="006226FD" w:rsidRPr="009477C4" w:rsidRDefault="006226FD" w:rsidP="006226F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74CDFA3" w14:textId="0D13EC0A"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5B2C6540" w14:textId="0CF0E217"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51353DF6" w14:textId="43A22744"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3F2D5E">
              <w:rPr>
                <w:sz w:val="10"/>
                <w:szCs w:val="10"/>
                <w:highlight w:val="yellow"/>
              </w:rPr>
              <w:t>VLOŽÍ</w:t>
            </w:r>
            <w:proofErr w:type="gramEnd"/>
            <w:r w:rsidRPr="003F2D5E">
              <w:rPr>
                <w:sz w:val="10"/>
                <w:szCs w:val="10"/>
                <w:highlight w:val="yellow"/>
              </w:rPr>
              <w:t xml:space="preserve"> ZHOTOVITEL – POZOR VKLÁDÁ SE CENA ZA VŠECHNA VYHOTOVENÍ]</w:t>
            </w:r>
          </w:p>
        </w:tc>
      </w:tr>
      <w:tr w:rsidR="006226FD" w14:paraId="58B8A755" w14:textId="77777777" w:rsidTr="00233F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322B42" w14:textId="77777777" w:rsidR="006226FD" w:rsidRPr="00AC042B" w:rsidRDefault="006226FD" w:rsidP="006226FD">
            <w:pPr>
              <w:pStyle w:val="Tabulka"/>
            </w:pPr>
            <w:r w:rsidRPr="00AC042B">
              <w:t>4</w:t>
            </w:r>
          </w:p>
        </w:tc>
        <w:tc>
          <w:tcPr>
            <w:tcW w:w="3216" w:type="dxa"/>
            <w:tcBorders>
              <w:top w:val="single" w:sz="2" w:space="0" w:color="auto"/>
              <w:left w:val="single" w:sz="2" w:space="0" w:color="auto"/>
              <w:bottom w:val="single" w:sz="2" w:space="0" w:color="auto"/>
              <w:right w:val="single" w:sz="2" w:space="0" w:color="auto"/>
            </w:tcBorders>
            <w:hideMark/>
          </w:tcPr>
          <w:p w14:paraId="66B2697B" w14:textId="77777777" w:rsidR="006226FD" w:rsidRPr="00AC042B"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AC042B">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58570D1" w14:textId="77777777" w:rsidR="006226FD" w:rsidRPr="009477C4" w:rsidRDefault="006226FD" w:rsidP="006226F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B45F9A9" w14:textId="1155F829"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5687AC46" w14:textId="0B0548AE"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2DE8D824" w14:textId="48710329"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3F2D5E">
              <w:rPr>
                <w:sz w:val="10"/>
                <w:szCs w:val="10"/>
                <w:highlight w:val="yellow"/>
              </w:rPr>
              <w:t>VLOŽÍ</w:t>
            </w:r>
            <w:proofErr w:type="gramEnd"/>
            <w:r w:rsidRPr="003F2D5E">
              <w:rPr>
                <w:sz w:val="10"/>
                <w:szCs w:val="10"/>
                <w:highlight w:val="yellow"/>
              </w:rPr>
              <w:t xml:space="preserve"> ZHOTOVITEL – POZOR VKLÁDÁ SE CENA ZA VŠECHNA VYHOTOVENÍ]</w:t>
            </w:r>
          </w:p>
        </w:tc>
      </w:tr>
      <w:tr w:rsidR="006226FD" w14:paraId="2B939D92" w14:textId="77777777" w:rsidTr="00233FB1">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EF841F1" w14:textId="77777777" w:rsidR="006226FD" w:rsidRPr="00AC042B" w:rsidRDefault="006226FD" w:rsidP="006226FD">
            <w:pPr>
              <w:pStyle w:val="Tabulka"/>
            </w:pPr>
            <w:r w:rsidRPr="00AC042B">
              <w:t>5</w:t>
            </w:r>
          </w:p>
        </w:tc>
        <w:tc>
          <w:tcPr>
            <w:tcW w:w="3216" w:type="dxa"/>
            <w:tcBorders>
              <w:top w:val="single" w:sz="2" w:space="0" w:color="auto"/>
              <w:left w:val="single" w:sz="2" w:space="0" w:color="auto"/>
              <w:bottom w:val="single" w:sz="2" w:space="0" w:color="auto"/>
              <w:right w:val="single" w:sz="2" w:space="0" w:color="auto"/>
            </w:tcBorders>
            <w:hideMark/>
          </w:tcPr>
          <w:p w14:paraId="5506A120" w14:textId="77777777" w:rsidR="006226FD" w:rsidRPr="00AC042B"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AC042B">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7A603C03" w14:textId="77777777" w:rsidR="006226FD" w:rsidRPr="009477C4" w:rsidRDefault="006226FD" w:rsidP="006226F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8EB34CD" w14:textId="178C4D43"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52558419" w14:textId="7A804CD8"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35B994F0" w14:textId="4DBE959A"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3F2D5E">
              <w:rPr>
                <w:sz w:val="10"/>
                <w:szCs w:val="10"/>
                <w:highlight w:val="yellow"/>
              </w:rPr>
              <w:t>VLOŽÍ</w:t>
            </w:r>
            <w:proofErr w:type="gramEnd"/>
            <w:r w:rsidRPr="003F2D5E">
              <w:rPr>
                <w:sz w:val="10"/>
                <w:szCs w:val="10"/>
                <w:highlight w:val="yellow"/>
              </w:rPr>
              <w:t xml:space="preserve"> ZHOTOVITEL – POZOR VKLÁDÁ SE CENA ZA VŠECHNA VYHOTOVENÍ]</w:t>
            </w:r>
          </w:p>
        </w:tc>
      </w:tr>
      <w:tr w:rsidR="00CE5685" w:rsidRPr="00117275" w14:paraId="02BFAB53" w14:textId="77777777" w:rsidTr="00974925">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910B078" w14:textId="77777777" w:rsidR="00CE5685" w:rsidRPr="00540C69" w:rsidRDefault="00CE5685" w:rsidP="00974925">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4EE1E7"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D3D53DB"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4C6B2A1"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5BF9B8F" w14:textId="030FC20C" w:rsidR="00CE5685" w:rsidRPr="00117275" w:rsidRDefault="006226FD" w:rsidP="00974925">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28BC9AE4" w14:textId="77777777" w:rsidR="00CE5685" w:rsidRPr="00E248E3" w:rsidRDefault="00CE5685" w:rsidP="00CE5685">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CE5685" w14:paraId="5A95E5C1" w14:textId="77777777" w:rsidTr="00974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68EE2CF" w14:textId="77777777" w:rsidR="00CE5685" w:rsidRDefault="00CE5685" w:rsidP="00974925">
            <w:pPr>
              <w:pStyle w:val="Tabulka"/>
              <w:rPr>
                <w:rStyle w:val="Tun"/>
                <w:sz w:val="16"/>
                <w:szCs w:val="16"/>
              </w:rPr>
            </w:pPr>
            <w:r>
              <w:rPr>
                <w:rStyle w:val="Tun"/>
                <w:sz w:val="16"/>
                <w:szCs w:val="16"/>
              </w:rPr>
              <w:t>Položka</w:t>
            </w:r>
          </w:p>
        </w:tc>
        <w:tc>
          <w:tcPr>
            <w:tcW w:w="3216" w:type="dxa"/>
            <w:hideMark/>
          </w:tcPr>
          <w:p w14:paraId="12A01211" w14:textId="77777777" w:rsidR="00CE5685"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1E1DB1D" w14:textId="77777777"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709F9F34" w14:textId="1C4A6DE1"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p>
        </w:tc>
        <w:tc>
          <w:tcPr>
            <w:tcW w:w="1293" w:type="dxa"/>
            <w:hideMark/>
          </w:tcPr>
          <w:p w14:paraId="36AB8C85" w14:textId="10CDE3F0"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p>
        </w:tc>
        <w:tc>
          <w:tcPr>
            <w:tcW w:w="1321" w:type="dxa"/>
            <w:hideMark/>
          </w:tcPr>
          <w:p w14:paraId="6E3AA341" w14:textId="2AF86D9C"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p>
        </w:tc>
      </w:tr>
      <w:tr w:rsidR="006226FD" w14:paraId="77247C50" w14:textId="77777777" w:rsidTr="008A318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39C01BE" w14:textId="77777777" w:rsidR="006226FD" w:rsidRPr="00726685" w:rsidRDefault="006226FD" w:rsidP="006226FD">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52FBADB0"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1C4326B6"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730CB90" w14:textId="6063737B"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05FE3D0A" w14:textId="06F3D3CE"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0578676D" w14:textId="725E316D"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844954">
              <w:rPr>
                <w:sz w:val="10"/>
                <w:szCs w:val="10"/>
                <w:highlight w:val="yellow"/>
              </w:rPr>
              <w:t>VLOŽÍ</w:t>
            </w:r>
            <w:proofErr w:type="gramEnd"/>
            <w:r w:rsidRPr="00844954">
              <w:rPr>
                <w:sz w:val="10"/>
                <w:szCs w:val="10"/>
                <w:highlight w:val="yellow"/>
              </w:rPr>
              <w:t xml:space="preserve"> ZHOTOVITEL – POZOR VKLÁDÁ SE CENA ZA VŠECHNA VYHOTOVENÍ]</w:t>
            </w:r>
          </w:p>
        </w:tc>
      </w:tr>
      <w:tr w:rsidR="006226FD" w14:paraId="34FBDD82" w14:textId="77777777" w:rsidTr="008A318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DC20059" w14:textId="77777777" w:rsidR="006226FD" w:rsidRPr="00726685" w:rsidRDefault="006226FD" w:rsidP="006226FD">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269436C4"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1F05CE47"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CC741CD" w14:textId="45D63E9D"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43341E4E" w14:textId="5D632D16"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855542">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417B5F17" w14:textId="34AFA2ED"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844954">
              <w:rPr>
                <w:sz w:val="10"/>
                <w:szCs w:val="10"/>
                <w:highlight w:val="yellow"/>
              </w:rPr>
              <w:t>VLOŽÍ</w:t>
            </w:r>
            <w:proofErr w:type="gramEnd"/>
            <w:r w:rsidRPr="00844954">
              <w:rPr>
                <w:sz w:val="10"/>
                <w:szCs w:val="10"/>
                <w:highlight w:val="yellow"/>
              </w:rPr>
              <w:t xml:space="preserve"> ZHOTOVITEL – POZOR VKLÁDÁ SE CENA ZA VŠECHNA VYHOTOVENÍ]</w:t>
            </w:r>
          </w:p>
        </w:tc>
      </w:tr>
      <w:tr w:rsidR="006226FD" w14:paraId="033A9ED3" w14:textId="77777777" w:rsidTr="008A318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D6D8A23" w14:textId="77777777" w:rsidR="006226FD" w:rsidRPr="00726685" w:rsidRDefault="006226FD" w:rsidP="006226FD">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2E592640"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2D1D2E4E"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38643FF" w14:textId="30921A3B"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60EB696C" w14:textId="73D060D9"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855542">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423841A1" w14:textId="109D9D87"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844954">
              <w:rPr>
                <w:sz w:val="10"/>
                <w:szCs w:val="10"/>
                <w:highlight w:val="yellow"/>
              </w:rPr>
              <w:t>VLOŽÍ</w:t>
            </w:r>
            <w:proofErr w:type="gramEnd"/>
            <w:r w:rsidRPr="00844954">
              <w:rPr>
                <w:sz w:val="10"/>
                <w:szCs w:val="10"/>
                <w:highlight w:val="yellow"/>
              </w:rPr>
              <w:t xml:space="preserve"> ZHOTOVITEL – POZOR VKLÁDÁ SE CENA ZA VŠECHNA VYHOTOVENÍ]</w:t>
            </w:r>
          </w:p>
        </w:tc>
      </w:tr>
      <w:tr w:rsidR="006226FD" w14:paraId="157355E4" w14:textId="77777777" w:rsidTr="008A318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AEBB640" w14:textId="77777777" w:rsidR="006226FD" w:rsidRPr="00726685" w:rsidRDefault="006226FD" w:rsidP="006226FD">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3FBBBEE5"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0973B86"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4D33F78" w14:textId="70051B54"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1736DCDA" w14:textId="22BF715C"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855542">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2EC34D25" w14:textId="637F2D39"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844954">
              <w:rPr>
                <w:sz w:val="10"/>
                <w:szCs w:val="10"/>
                <w:highlight w:val="yellow"/>
              </w:rPr>
              <w:t>VLOŽÍ</w:t>
            </w:r>
            <w:proofErr w:type="gramEnd"/>
            <w:r w:rsidRPr="00844954">
              <w:rPr>
                <w:sz w:val="10"/>
                <w:szCs w:val="10"/>
                <w:highlight w:val="yellow"/>
              </w:rPr>
              <w:t xml:space="preserve"> ZHOTOVITEL – POZOR VKLÁDÁ SE CENA ZA VŠECHNA VYHOTOVENÍ]</w:t>
            </w:r>
          </w:p>
        </w:tc>
      </w:tr>
      <w:tr w:rsidR="006226FD" w14:paraId="0BA379EE" w14:textId="77777777" w:rsidTr="008A3186">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4B2D051" w14:textId="77777777" w:rsidR="006226FD" w:rsidRPr="00726685" w:rsidRDefault="006226FD" w:rsidP="006226FD">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5AEE67A6"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70B3C4D"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5150627" w14:textId="7201B4A1" w:rsidR="006226FD"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2299D824" w14:textId="52741163"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855542">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0305ABFB" w14:textId="3598CC9C" w:rsidR="006226FD"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844954">
              <w:rPr>
                <w:sz w:val="10"/>
                <w:szCs w:val="10"/>
                <w:highlight w:val="yellow"/>
              </w:rPr>
              <w:t>VLOŽÍ</w:t>
            </w:r>
            <w:proofErr w:type="gramEnd"/>
            <w:r w:rsidRPr="00844954">
              <w:rPr>
                <w:sz w:val="10"/>
                <w:szCs w:val="10"/>
                <w:highlight w:val="yellow"/>
              </w:rPr>
              <w:t xml:space="preserve"> ZHOTOVITEL – POZOR VKLÁDÁ SE CENA ZA VŠECHNA VYHOTOVENÍ]</w:t>
            </w:r>
          </w:p>
        </w:tc>
      </w:tr>
      <w:tr w:rsidR="00CE5685" w14:paraId="400ABEFC" w14:textId="77777777" w:rsidTr="00974925">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989465B" w14:textId="77777777" w:rsidR="00CE5685" w:rsidRPr="00540C69" w:rsidRDefault="00CE5685" w:rsidP="00974925">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25CBF94"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B2E7A00"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10B4371"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8272030" w14:textId="5CD32CCC" w:rsidR="00CE5685" w:rsidRPr="00117275" w:rsidRDefault="006226FD" w:rsidP="00974925">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02217DC9" w14:textId="77777777" w:rsidR="00CE5685" w:rsidRPr="00E248E3" w:rsidRDefault="00CE5685" w:rsidP="00CE5685">
      <w:pPr>
        <w:pStyle w:val="Nadpisbezsl1-2"/>
        <w:rPr>
          <w:sz w:val="18"/>
        </w:rPr>
      </w:pPr>
      <w:r>
        <w:rPr>
          <w:sz w:val="18"/>
        </w:rPr>
        <w:t>SO 02 Nástupiště</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CE5685" w14:paraId="346A3D8B" w14:textId="77777777" w:rsidTr="009749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59E32BAF" w14:textId="77777777" w:rsidR="00CE5685" w:rsidRDefault="00CE5685" w:rsidP="00974925">
            <w:pPr>
              <w:pStyle w:val="Tabulka"/>
              <w:rPr>
                <w:rStyle w:val="Tun"/>
                <w:sz w:val="16"/>
                <w:szCs w:val="16"/>
              </w:rPr>
            </w:pPr>
            <w:r>
              <w:rPr>
                <w:rStyle w:val="Tun"/>
                <w:sz w:val="16"/>
                <w:szCs w:val="16"/>
              </w:rPr>
              <w:t>Položka</w:t>
            </w:r>
          </w:p>
        </w:tc>
        <w:tc>
          <w:tcPr>
            <w:tcW w:w="3216" w:type="dxa"/>
            <w:hideMark/>
          </w:tcPr>
          <w:p w14:paraId="7B0FC418" w14:textId="77777777" w:rsidR="00CE5685"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6E2D6AA" w14:textId="77777777"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6751FAAB" w14:textId="11D5CBE8"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Množství </w:t>
            </w:r>
          </w:p>
        </w:tc>
        <w:tc>
          <w:tcPr>
            <w:tcW w:w="1293" w:type="dxa"/>
            <w:hideMark/>
          </w:tcPr>
          <w:p w14:paraId="4F0A53D4" w14:textId="7ECB96C3"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Jednotková cena </w:t>
            </w:r>
          </w:p>
        </w:tc>
        <w:tc>
          <w:tcPr>
            <w:tcW w:w="1321" w:type="dxa"/>
            <w:hideMark/>
          </w:tcPr>
          <w:p w14:paraId="5A3EC075" w14:textId="63173653" w:rsidR="00CE5685" w:rsidRPr="00C27799" w:rsidRDefault="00CE5685" w:rsidP="00974925">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 xml:space="preserve">Cena celkem </w:t>
            </w:r>
          </w:p>
        </w:tc>
      </w:tr>
      <w:tr w:rsidR="006226FD" w14:paraId="1A7859B7" w14:textId="77777777" w:rsidTr="00CF4E1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AC7CCB1" w14:textId="77777777" w:rsidR="006226FD" w:rsidRPr="00726685" w:rsidRDefault="006226FD" w:rsidP="006226FD">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0E04A248"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62D260EC"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BDD237D" w14:textId="495FB1AB"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2DA73F83" w14:textId="49BECD35"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D05866">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043C5AE9" w14:textId="60C9D68B"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A50DF">
              <w:rPr>
                <w:sz w:val="10"/>
                <w:szCs w:val="10"/>
                <w:highlight w:val="yellow"/>
              </w:rPr>
              <w:t>VLOŽÍ</w:t>
            </w:r>
            <w:proofErr w:type="gramEnd"/>
            <w:r w:rsidRPr="006A50DF">
              <w:rPr>
                <w:sz w:val="10"/>
                <w:szCs w:val="10"/>
                <w:highlight w:val="yellow"/>
              </w:rPr>
              <w:t xml:space="preserve"> ZHOTOVITEL – POZOR VKLÁDÁ SE CENA ZA VŠECHNA VYHOTOVENÍ]</w:t>
            </w:r>
          </w:p>
        </w:tc>
      </w:tr>
      <w:tr w:rsidR="006226FD" w14:paraId="232810DF" w14:textId="77777777" w:rsidTr="00CF4E1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6167662" w14:textId="77777777" w:rsidR="006226FD" w:rsidRPr="00726685" w:rsidRDefault="006226FD" w:rsidP="006226FD">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76C84A37"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7CD41E28"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095E03C" w14:textId="772FCA41"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40C859CE" w14:textId="40580DD6"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D05866">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6129FEFD" w14:textId="25164915"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A50DF">
              <w:rPr>
                <w:sz w:val="10"/>
                <w:szCs w:val="10"/>
                <w:highlight w:val="yellow"/>
              </w:rPr>
              <w:t>VLOŽÍ</w:t>
            </w:r>
            <w:proofErr w:type="gramEnd"/>
            <w:r w:rsidRPr="006A50DF">
              <w:rPr>
                <w:sz w:val="10"/>
                <w:szCs w:val="10"/>
                <w:highlight w:val="yellow"/>
              </w:rPr>
              <w:t xml:space="preserve"> ZHOTOVITEL – POZOR VKLÁDÁ SE CENA ZA VŠECHNA VYHOTOVENÍ]</w:t>
            </w:r>
          </w:p>
        </w:tc>
      </w:tr>
      <w:tr w:rsidR="006226FD" w14:paraId="155E75CC" w14:textId="77777777" w:rsidTr="00CF4E1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31BF023" w14:textId="77777777" w:rsidR="006226FD" w:rsidRPr="00726685" w:rsidRDefault="006226FD" w:rsidP="006226FD">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71D8403C"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0252F9E"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DA07093" w14:textId="13FE04A2"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0F0BAFBE" w14:textId="60706A05"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D05866">
              <w:rPr>
                <w:sz w:val="10"/>
                <w:szCs w:val="10"/>
                <w:highlight w:val="yellow"/>
              </w:rPr>
              <w:t xml:space="preserve">ZHOTOVITEL – POZOR VKLÁDÁ SE JEDNOTKOVÁ CENA </w:t>
            </w:r>
            <w:r w:rsidRPr="00D05866">
              <w:rPr>
                <w:sz w:val="10"/>
                <w:szCs w:val="10"/>
                <w:highlight w:val="yellow"/>
              </w:rPr>
              <w:lastRenderedPageBreak/>
              <w:t>ZA JEDNO VYHOTOVENÍ]</w:t>
            </w:r>
          </w:p>
        </w:tc>
        <w:tc>
          <w:tcPr>
            <w:tcW w:w="1321" w:type="dxa"/>
            <w:tcBorders>
              <w:top w:val="single" w:sz="2" w:space="0" w:color="auto"/>
              <w:left w:val="single" w:sz="2" w:space="0" w:color="auto"/>
              <w:bottom w:val="single" w:sz="2" w:space="0" w:color="auto"/>
              <w:right w:val="nil"/>
            </w:tcBorders>
            <w:vAlign w:val="top"/>
          </w:tcPr>
          <w:p w14:paraId="4E61B4B5" w14:textId="589D07BB"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A50DF">
              <w:rPr>
                <w:sz w:val="10"/>
                <w:szCs w:val="10"/>
                <w:highlight w:val="yellow"/>
              </w:rPr>
              <w:lastRenderedPageBreak/>
              <w:t>VLOŽÍ</w:t>
            </w:r>
            <w:proofErr w:type="gramEnd"/>
            <w:r w:rsidRPr="006A50DF">
              <w:rPr>
                <w:sz w:val="10"/>
                <w:szCs w:val="10"/>
                <w:highlight w:val="yellow"/>
              </w:rPr>
              <w:t xml:space="preserve"> ZHOTOVITEL – POZOR VKLÁDÁ SE </w:t>
            </w:r>
            <w:r w:rsidRPr="006A50DF">
              <w:rPr>
                <w:sz w:val="10"/>
                <w:szCs w:val="10"/>
                <w:highlight w:val="yellow"/>
              </w:rPr>
              <w:lastRenderedPageBreak/>
              <w:t>CENA ZA VŠECHNA VYHOTOVENÍ]</w:t>
            </w:r>
          </w:p>
        </w:tc>
      </w:tr>
      <w:tr w:rsidR="006226FD" w14:paraId="1256F10B" w14:textId="77777777" w:rsidTr="00CF4E1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3D9D81E" w14:textId="77777777" w:rsidR="006226FD" w:rsidRPr="00726685" w:rsidRDefault="006226FD" w:rsidP="006226FD">
            <w:pPr>
              <w:pStyle w:val="Tabulka"/>
            </w:pPr>
            <w:r w:rsidRPr="00726685">
              <w:lastRenderedPageBreak/>
              <w:t>4</w:t>
            </w:r>
          </w:p>
        </w:tc>
        <w:tc>
          <w:tcPr>
            <w:tcW w:w="3216" w:type="dxa"/>
            <w:tcBorders>
              <w:top w:val="single" w:sz="2" w:space="0" w:color="auto"/>
              <w:left w:val="single" w:sz="2" w:space="0" w:color="auto"/>
              <w:bottom w:val="single" w:sz="2" w:space="0" w:color="auto"/>
              <w:right w:val="single" w:sz="2" w:space="0" w:color="auto"/>
            </w:tcBorders>
            <w:hideMark/>
          </w:tcPr>
          <w:p w14:paraId="3744DBE7"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7B5010F"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5F69BFB" w14:textId="01264E89"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00CAA582" w14:textId="4565133F"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D05866">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793C1DFA" w14:textId="46A3E7CE"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A50DF">
              <w:rPr>
                <w:sz w:val="10"/>
                <w:szCs w:val="10"/>
                <w:highlight w:val="yellow"/>
              </w:rPr>
              <w:t>VLOŽÍ</w:t>
            </w:r>
            <w:proofErr w:type="gramEnd"/>
            <w:r w:rsidRPr="006A50DF">
              <w:rPr>
                <w:sz w:val="10"/>
                <w:szCs w:val="10"/>
                <w:highlight w:val="yellow"/>
              </w:rPr>
              <w:t xml:space="preserve"> ZHOTOVITEL – POZOR VKLÁDÁ SE CENA ZA VŠECHNA VYHOTOVENÍ]</w:t>
            </w:r>
          </w:p>
        </w:tc>
      </w:tr>
      <w:tr w:rsidR="006226FD" w14:paraId="11B8572A" w14:textId="77777777" w:rsidTr="00CF4E10">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69DD55" w14:textId="77777777" w:rsidR="006226FD" w:rsidRPr="00726685" w:rsidRDefault="006226FD" w:rsidP="006226FD">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745CD167"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27DA6038" w14:textId="7777777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FAA0B4C" w14:textId="27534267" w:rsidR="006226FD" w:rsidRPr="00726685" w:rsidRDefault="006226FD" w:rsidP="006226FD">
            <w:pPr>
              <w:pStyle w:val="Tabulka"/>
              <w:cnfStyle w:val="000000000000" w:firstRow="0" w:lastRow="0" w:firstColumn="0" w:lastColumn="0" w:oddVBand="0" w:evenVBand="0" w:oddHBand="0" w:evenHBand="0" w:firstRowFirstColumn="0" w:firstRowLastColumn="0" w:lastRowFirstColumn="0" w:lastRowLastColumn="0"/>
            </w:pPr>
            <w:proofErr w:type="gramStart"/>
            <w:r w:rsidRPr="006226FD">
              <w:rPr>
                <w:sz w:val="10"/>
                <w:szCs w:val="10"/>
                <w:highlight w:val="yellow"/>
              </w:rPr>
              <w:t>VLOŽÍ</w:t>
            </w:r>
            <w:proofErr w:type="gramEnd"/>
            <w:r w:rsidRPr="006226FD">
              <w:rPr>
                <w:sz w:val="10"/>
                <w:szCs w:val="10"/>
                <w:highlight w:val="yellow"/>
              </w:rPr>
              <w:t xml:space="preserve"> ZHOTOVITEL]</w:t>
            </w:r>
          </w:p>
        </w:tc>
        <w:tc>
          <w:tcPr>
            <w:tcW w:w="1293" w:type="dxa"/>
            <w:tcBorders>
              <w:top w:val="single" w:sz="2" w:space="0" w:color="auto"/>
              <w:left w:val="single" w:sz="2" w:space="0" w:color="auto"/>
              <w:bottom w:val="single" w:sz="2" w:space="0" w:color="auto"/>
              <w:right w:val="single" w:sz="2" w:space="0" w:color="auto"/>
            </w:tcBorders>
            <w:vAlign w:val="top"/>
          </w:tcPr>
          <w:p w14:paraId="39806356" w14:textId="0C1EA189"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r w:rsidRPr="00D05866">
              <w:rPr>
                <w:sz w:val="10"/>
                <w:szCs w:val="10"/>
                <w:highlight w:val="yellow"/>
              </w:rPr>
              <w:t>ZHOTOVITEL – POZOR VKLÁDÁ SE JEDNOTKOVÁ CENA ZA JEDNO VYHOTOVENÍ]</w:t>
            </w:r>
          </w:p>
        </w:tc>
        <w:tc>
          <w:tcPr>
            <w:tcW w:w="1321" w:type="dxa"/>
            <w:tcBorders>
              <w:top w:val="single" w:sz="2" w:space="0" w:color="auto"/>
              <w:left w:val="single" w:sz="2" w:space="0" w:color="auto"/>
              <w:bottom w:val="single" w:sz="2" w:space="0" w:color="auto"/>
              <w:right w:val="nil"/>
            </w:tcBorders>
            <w:vAlign w:val="top"/>
          </w:tcPr>
          <w:p w14:paraId="0D6FB67B" w14:textId="49DBA6C7" w:rsidR="006226FD" w:rsidRPr="00726685" w:rsidRDefault="006226FD" w:rsidP="006226FD">
            <w:pPr>
              <w:pStyle w:val="Tabulka"/>
              <w:jc w:val="left"/>
              <w:cnfStyle w:val="000000000000" w:firstRow="0" w:lastRow="0" w:firstColumn="0" w:lastColumn="0" w:oddVBand="0" w:evenVBand="0" w:oddHBand="0" w:evenHBand="0" w:firstRowFirstColumn="0" w:firstRowLastColumn="0" w:lastRowFirstColumn="0" w:lastRowLastColumn="0"/>
            </w:pPr>
            <w:proofErr w:type="gramStart"/>
            <w:r w:rsidRPr="006A50DF">
              <w:rPr>
                <w:sz w:val="10"/>
                <w:szCs w:val="10"/>
                <w:highlight w:val="yellow"/>
              </w:rPr>
              <w:t>VLOŽÍ</w:t>
            </w:r>
            <w:proofErr w:type="gramEnd"/>
            <w:r w:rsidRPr="006A50DF">
              <w:rPr>
                <w:sz w:val="10"/>
                <w:szCs w:val="10"/>
                <w:highlight w:val="yellow"/>
              </w:rPr>
              <w:t xml:space="preserve"> ZHOTOVITEL – POZOR VKLÁDÁ SE CENA ZA VŠECHNA VYHOTOVENÍ]</w:t>
            </w:r>
          </w:p>
        </w:tc>
      </w:tr>
      <w:tr w:rsidR="00CE5685" w14:paraId="36220BAB" w14:textId="77777777" w:rsidTr="00974925">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7F4AEDC" w14:textId="77777777" w:rsidR="00CE5685" w:rsidRPr="00540C69" w:rsidRDefault="00CE5685" w:rsidP="00974925">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0E52E80"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335B2A6"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E137574" w14:textId="77777777" w:rsidR="00CE5685" w:rsidRDefault="00CE5685" w:rsidP="00974925">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B8DB33D" w14:textId="70F7F9C5" w:rsidR="00CE5685" w:rsidRPr="00117275" w:rsidRDefault="006226FD" w:rsidP="00974925">
            <w:pPr>
              <w:pStyle w:val="Tabulka"/>
              <w:cnfStyle w:val="000000000000" w:firstRow="0" w:lastRow="0" w:firstColumn="0" w:lastColumn="0" w:oddVBand="0" w:evenVBand="0" w:oddHBand="0" w:evenHBand="0" w:firstRowFirstColumn="0" w:firstRowLastColumn="0" w:lastRowFirstColumn="0" w:lastRowLastColumn="0"/>
              <w:rPr>
                <w:b/>
              </w:rPr>
            </w:pPr>
            <w:proofErr w:type="gramStart"/>
            <w:r w:rsidRPr="006226FD">
              <w:rPr>
                <w:sz w:val="10"/>
                <w:szCs w:val="10"/>
                <w:highlight w:val="yellow"/>
              </w:rPr>
              <w:t>VLOŽÍ</w:t>
            </w:r>
            <w:proofErr w:type="gramEnd"/>
            <w:r w:rsidRPr="006226FD">
              <w:rPr>
                <w:sz w:val="10"/>
                <w:szCs w:val="10"/>
                <w:highlight w:val="yellow"/>
              </w:rPr>
              <w:t xml:space="preserve"> ZHOTOVITEL]</w:t>
            </w:r>
          </w:p>
        </w:tc>
      </w:tr>
    </w:tbl>
    <w:p w14:paraId="2F62F36E" w14:textId="77777777" w:rsidR="00CE5685" w:rsidRPr="00CE5685" w:rsidRDefault="00CE5685" w:rsidP="004D482C">
      <w:pPr>
        <w:pStyle w:val="Textbezodsazen"/>
        <w:rPr>
          <w:b/>
          <w:bCs/>
          <w:sz w:val="10"/>
          <w:szCs w:val="10"/>
        </w:rPr>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04204574" w:rsidR="003225EE" w:rsidRDefault="003225EE" w:rsidP="004D482C">
            <w:pPr>
              <w:pStyle w:val="Tabulka"/>
              <w:rPr>
                <w:rStyle w:val="Tun"/>
                <w:sz w:val="16"/>
                <w:szCs w:val="16"/>
              </w:rPr>
            </w:pPr>
            <w:r>
              <w:rPr>
                <w:rStyle w:val="Tun"/>
                <w:sz w:val="16"/>
                <w:szCs w:val="16"/>
              </w:rPr>
              <w:t xml:space="preserve">Cena díla bez DPH </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52824CE9"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67963A41"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1C0157EA" w:rsidR="003225EE" w:rsidRPr="00550911" w:rsidRDefault="006226FD" w:rsidP="004D482C">
            <w:pPr>
              <w:pStyle w:val="Tabulka"/>
              <w:rPr>
                <w:highlight w:val="green"/>
              </w:rPr>
            </w:pPr>
            <w:proofErr w:type="gramStart"/>
            <w:r w:rsidRPr="00236DCC">
              <w:rPr>
                <w:highlight w:val="yellow"/>
              </w:rPr>
              <w:t>VLOŽÍ</w:t>
            </w:r>
            <w:proofErr w:type="gramEnd"/>
            <w:r w:rsidRPr="00236DCC">
              <w:rPr>
                <w:highlight w:val="yellow"/>
              </w:rPr>
              <w:t xml:space="preserve"> ZHOTOVITEL</w:t>
            </w:r>
            <w:r w:rsidRPr="00236DCC">
              <w:t>]"</w:t>
            </w:r>
          </w:p>
        </w:tc>
        <w:tc>
          <w:tcPr>
            <w:tcW w:w="2835" w:type="dxa"/>
            <w:hideMark/>
          </w:tcPr>
          <w:p w14:paraId="6001CFCB" w14:textId="5E2B2787" w:rsidR="003225EE" w:rsidRPr="003225EE" w:rsidRDefault="006226FD"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gramStart"/>
            <w:r w:rsidRPr="00236DCC">
              <w:rPr>
                <w:highlight w:val="yellow"/>
              </w:rPr>
              <w:t>VLOŽÍ</w:t>
            </w:r>
            <w:proofErr w:type="gramEnd"/>
            <w:r w:rsidRPr="00236DCC">
              <w:rPr>
                <w:highlight w:val="yellow"/>
              </w:rPr>
              <w:t xml:space="preserve"> ZHOTOVITEL</w:t>
            </w:r>
            <w:r w:rsidRPr="00236DCC">
              <w:t>]"</w:t>
            </w:r>
          </w:p>
        </w:tc>
        <w:tc>
          <w:tcPr>
            <w:tcW w:w="3119" w:type="dxa"/>
            <w:hideMark/>
          </w:tcPr>
          <w:p w14:paraId="408D8001" w14:textId="65F0DD68" w:rsidR="003225EE" w:rsidRPr="003225EE" w:rsidRDefault="006226FD"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gramStart"/>
            <w:r w:rsidRPr="00236DCC">
              <w:rPr>
                <w:highlight w:val="yellow"/>
              </w:rPr>
              <w:t>VLOŽÍ</w:t>
            </w:r>
            <w:proofErr w:type="gramEnd"/>
            <w:r w:rsidRPr="00236DCC">
              <w:rPr>
                <w:highlight w:val="yellow"/>
              </w:rPr>
              <w:t xml:space="preserve"> ZHOTOVITEL</w:t>
            </w:r>
            <w:r w:rsidRPr="00236DCC">
              <w:t>]"</w:t>
            </w:r>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4A7152" w14:paraId="5238D4D0"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2EC8BA1E" w14:textId="77777777" w:rsidR="004A7152" w:rsidRDefault="004A7152" w:rsidP="004D482C">
            <w:pPr>
              <w:pStyle w:val="Tabulka"/>
              <w:rPr>
                <w:rStyle w:val="Tun"/>
              </w:rPr>
            </w:pPr>
            <w:bookmarkStart w:id="4" w:name="_Hlk136520645"/>
            <w:r>
              <w:rPr>
                <w:rStyle w:val="Tun"/>
              </w:rPr>
              <w:t>Část Díla</w:t>
            </w:r>
          </w:p>
        </w:tc>
        <w:tc>
          <w:tcPr>
            <w:tcW w:w="2352" w:type="dxa"/>
            <w:hideMark/>
          </w:tcPr>
          <w:p w14:paraId="6598E32B"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354FD36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526D9D50"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CE5685" w:rsidRPr="00CB14D6" w14:paraId="2730D4C7" w14:textId="77777777" w:rsidTr="00CE5685">
        <w:trPr>
          <w:trHeight w:val="282"/>
        </w:trPr>
        <w:tc>
          <w:tcPr>
            <w:cnfStyle w:val="001000000000" w:firstRow="0" w:lastRow="0" w:firstColumn="1" w:lastColumn="0" w:oddVBand="0" w:evenVBand="0" w:oddHBand="0" w:evenHBand="0" w:firstRowFirstColumn="0" w:firstRowLastColumn="0" w:lastRowFirstColumn="0" w:lastRowLastColumn="0"/>
            <w:tcW w:w="1789" w:type="dxa"/>
            <w:hideMark/>
          </w:tcPr>
          <w:p w14:paraId="4C3904C0" w14:textId="77777777" w:rsidR="00CE5685" w:rsidRPr="00A81478" w:rsidRDefault="00CE5685" w:rsidP="00974925">
            <w:pPr>
              <w:spacing w:after="120"/>
              <w:jc w:val="both"/>
              <w:rPr>
                <w:b/>
                <w:sz w:val="16"/>
                <w:szCs w:val="16"/>
              </w:rPr>
            </w:pPr>
            <w:r w:rsidRPr="00A81478">
              <w:rPr>
                <w:b/>
                <w:sz w:val="16"/>
                <w:szCs w:val="16"/>
              </w:rPr>
              <w:t>Termín zahájení prací</w:t>
            </w:r>
          </w:p>
        </w:tc>
        <w:tc>
          <w:tcPr>
            <w:tcW w:w="2352" w:type="dxa"/>
            <w:hideMark/>
          </w:tcPr>
          <w:p w14:paraId="42781F21"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rPr>
                <w:sz w:val="16"/>
                <w:szCs w:val="16"/>
              </w:rPr>
              <w:t>ihned po nabytí účinnosti Smlouvy</w:t>
            </w:r>
          </w:p>
        </w:tc>
        <w:tc>
          <w:tcPr>
            <w:tcW w:w="2435" w:type="dxa"/>
            <w:hideMark/>
          </w:tcPr>
          <w:p w14:paraId="154F059D"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t>-</w:t>
            </w:r>
          </w:p>
        </w:tc>
        <w:tc>
          <w:tcPr>
            <w:tcW w:w="2126" w:type="dxa"/>
            <w:hideMark/>
          </w:tcPr>
          <w:p w14:paraId="13971C99"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t>-</w:t>
            </w:r>
          </w:p>
        </w:tc>
      </w:tr>
      <w:tr w:rsidR="00CE5685" w:rsidRPr="00CB14D6" w14:paraId="4C77BB41" w14:textId="77777777" w:rsidTr="00CE5685">
        <w:trPr>
          <w:trHeight w:val="282"/>
        </w:trPr>
        <w:tc>
          <w:tcPr>
            <w:cnfStyle w:val="001000000000" w:firstRow="0" w:lastRow="0" w:firstColumn="1" w:lastColumn="0" w:oddVBand="0" w:evenVBand="0" w:oddHBand="0" w:evenHBand="0" w:firstRowFirstColumn="0" w:firstRowLastColumn="0" w:lastRowFirstColumn="0" w:lastRowLastColumn="0"/>
            <w:tcW w:w="1789" w:type="dxa"/>
          </w:tcPr>
          <w:p w14:paraId="175F9CCE" w14:textId="77777777" w:rsidR="00CE5685" w:rsidRPr="00A81478" w:rsidRDefault="00CE5685" w:rsidP="00974925">
            <w:pPr>
              <w:spacing w:after="120"/>
              <w:jc w:val="both"/>
              <w:rPr>
                <w:b/>
                <w:sz w:val="16"/>
                <w:szCs w:val="16"/>
              </w:rPr>
            </w:pPr>
            <w:r w:rsidRPr="00A81478">
              <w:rPr>
                <w:b/>
                <w:sz w:val="16"/>
                <w:szCs w:val="16"/>
              </w:rPr>
              <w:t>1. Dílčí etapa</w:t>
            </w:r>
          </w:p>
        </w:tc>
        <w:tc>
          <w:tcPr>
            <w:tcW w:w="2352" w:type="dxa"/>
          </w:tcPr>
          <w:p w14:paraId="4A0F3B64"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 2</w:t>
            </w:r>
            <w:r w:rsidRPr="00A81478">
              <w:rPr>
                <w:b/>
                <w:sz w:val="16"/>
                <w:szCs w:val="16"/>
              </w:rPr>
              <w:t xml:space="preserve"> měsíců </w:t>
            </w:r>
            <w:r w:rsidRPr="00A81478">
              <w:rPr>
                <w:sz w:val="16"/>
                <w:szCs w:val="16"/>
              </w:rPr>
              <w:t>od nabytí účinnosti Smlouvy</w:t>
            </w:r>
          </w:p>
        </w:tc>
        <w:tc>
          <w:tcPr>
            <w:tcW w:w="2435" w:type="dxa"/>
          </w:tcPr>
          <w:p w14:paraId="456639C7"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rPr>
                <w:sz w:val="16"/>
                <w:szCs w:val="16"/>
              </w:rPr>
              <w:t>Návrh technického řešení k připomínkovému řízení v souladu se směrnicí SŽ SM 014, včetně odhadu nákladů stavebních prací a odhadu rozsahu výluk.</w:t>
            </w:r>
          </w:p>
        </w:tc>
        <w:tc>
          <w:tcPr>
            <w:tcW w:w="2126" w:type="dxa"/>
          </w:tcPr>
          <w:p w14:paraId="7DC367F2"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rPr>
                <w:sz w:val="16"/>
                <w:szCs w:val="16"/>
              </w:rPr>
              <w:t>Předání návrhu technické řešení</w:t>
            </w:r>
          </w:p>
        </w:tc>
      </w:tr>
      <w:tr w:rsidR="00CE5685" w:rsidRPr="00CB14D6" w14:paraId="087E49FF" w14:textId="77777777" w:rsidTr="00CE5685">
        <w:tc>
          <w:tcPr>
            <w:cnfStyle w:val="001000000000" w:firstRow="0" w:lastRow="0" w:firstColumn="1" w:lastColumn="0" w:oddVBand="0" w:evenVBand="0" w:oddHBand="0" w:evenHBand="0" w:firstRowFirstColumn="0" w:firstRowLastColumn="0" w:lastRowFirstColumn="0" w:lastRowLastColumn="0"/>
            <w:tcW w:w="1789" w:type="dxa"/>
            <w:hideMark/>
          </w:tcPr>
          <w:p w14:paraId="28578EB2" w14:textId="77777777" w:rsidR="00CE5685" w:rsidRPr="00A81478" w:rsidRDefault="00CE5685" w:rsidP="00974925">
            <w:pPr>
              <w:spacing w:after="120"/>
              <w:jc w:val="both"/>
              <w:rPr>
                <w:b/>
              </w:rPr>
            </w:pPr>
            <w:r w:rsidRPr="00A81478">
              <w:rPr>
                <w:b/>
                <w:sz w:val="16"/>
                <w:szCs w:val="16"/>
              </w:rPr>
              <w:t xml:space="preserve">2. Dílčí </w:t>
            </w:r>
            <w:proofErr w:type="gramStart"/>
            <w:r w:rsidRPr="00A81478">
              <w:rPr>
                <w:b/>
                <w:sz w:val="16"/>
                <w:szCs w:val="16"/>
              </w:rPr>
              <w:t>etapa - dokončení</w:t>
            </w:r>
            <w:proofErr w:type="gramEnd"/>
            <w:r w:rsidRPr="00A81478">
              <w:rPr>
                <w:b/>
                <w:sz w:val="16"/>
                <w:szCs w:val="16"/>
              </w:rPr>
              <w:t xml:space="preserve"> Díla</w:t>
            </w:r>
          </w:p>
        </w:tc>
        <w:tc>
          <w:tcPr>
            <w:tcW w:w="2352" w:type="dxa"/>
            <w:hideMark/>
          </w:tcPr>
          <w:p w14:paraId="420A1396" w14:textId="603BF01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pPr>
            <w:r w:rsidRPr="00A81478">
              <w:rPr>
                <w:b/>
                <w:sz w:val="16"/>
                <w:szCs w:val="16"/>
              </w:rPr>
              <w:t>D</w:t>
            </w:r>
            <w:r>
              <w:rPr>
                <w:b/>
                <w:sz w:val="16"/>
                <w:szCs w:val="16"/>
              </w:rPr>
              <w:t>o 7</w:t>
            </w:r>
            <w:r w:rsidRPr="00A81478">
              <w:rPr>
                <w:b/>
                <w:sz w:val="16"/>
                <w:szCs w:val="16"/>
              </w:rPr>
              <w:t xml:space="preserve"> měsíců </w:t>
            </w:r>
            <w:r w:rsidRPr="00A81478">
              <w:rPr>
                <w:sz w:val="16"/>
                <w:szCs w:val="16"/>
              </w:rPr>
              <w:t>od</w:t>
            </w:r>
            <w:r>
              <w:rPr>
                <w:sz w:val="16"/>
                <w:szCs w:val="16"/>
              </w:rPr>
              <w:t xml:space="preserve"> </w:t>
            </w:r>
            <w:r w:rsidR="006F6CDE" w:rsidRPr="00A81478">
              <w:rPr>
                <w:sz w:val="16"/>
                <w:szCs w:val="16"/>
              </w:rPr>
              <w:t>nabytí účinnosti Smlouvy</w:t>
            </w:r>
          </w:p>
        </w:tc>
        <w:tc>
          <w:tcPr>
            <w:tcW w:w="2435" w:type="dxa"/>
            <w:hideMark/>
          </w:tcPr>
          <w:p w14:paraId="179E41ED"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A81478">
              <w:rPr>
                <w:color w:val="000000" w:themeColor="text1"/>
                <w:sz w:val="16"/>
                <w:szCs w:val="16"/>
              </w:rPr>
              <w:t xml:space="preserve">Finální verze PD pro provedení stavby bez dokladové části včetně dokončeného TPVP a soupisu prací s výkazem výměr.  </w:t>
            </w:r>
          </w:p>
        </w:tc>
        <w:tc>
          <w:tcPr>
            <w:tcW w:w="2126" w:type="dxa"/>
            <w:hideMark/>
          </w:tcPr>
          <w:p w14:paraId="2D53F22C" w14:textId="77777777" w:rsidR="00CE5685" w:rsidRPr="00A81478" w:rsidRDefault="00CE5685" w:rsidP="00974925">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A81478">
              <w:rPr>
                <w:color w:val="000000" w:themeColor="text1"/>
                <w:sz w:val="16"/>
                <w:szCs w:val="16"/>
              </w:rPr>
              <w:t>Předání finální verze PD bez dokladové části.</w:t>
            </w:r>
          </w:p>
        </w:tc>
      </w:tr>
      <w:tr w:rsidR="0006078E" w:rsidRPr="00CB14D6" w14:paraId="21642181" w14:textId="77777777" w:rsidTr="00CE5685">
        <w:tc>
          <w:tcPr>
            <w:cnfStyle w:val="001000000000" w:firstRow="0" w:lastRow="0" w:firstColumn="1" w:lastColumn="0" w:oddVBand="0" w:evenVBand="0" w:oddHBand="0" w:evenHBand="0" w:firstRowFirstColumn="0" w:firstRowLastColumn="0" w:lastRowFirstColumn="0" w:lastRowLastColumn="0"/>
            <w:tcW w:w="1789" w:type="dxa"/>
          </w:tcPr>
          <w:p w14:paraId="6FE95E1A" w14:textId="77777777" w:rsidR="0006078E" w:rsidRPr="00A81478" w:rsidRDefault="0006078E" w:rsidP="0006078E">
            <w:pPr>
              <w:spacing w:after="120"/>
              <w:jc w:val="both"/>
              <w:rPr>
                <w:b/>
                <w:sz w:val="16"/>
                <w:szCs w:val="16"/>
              </w:rPr>
            </w:pPr>
            <w:r w:rsidRPr="00A81478">
              <w:rPr>
                <w:b/>
                <w:sz w:val="16"/>
                <w:szCs w:val="16"/>
              </w:rPr>
              <w:t>Termín dokončení Díla</w:t>
            </w:r>
          </w:p>
        </w:tc>
        <w:tc>
          <w:tcPr>
            <w:tcW w:w="2352" w:type="dxa"/>
          </w:tcPr>
          <w:p w14:paraId="66CBFA90" w14:textId="19C59C0A" w:rsidR="0006078E" w:rsidRPr="00A81478" w:rsidRDefault="0006078E" w:rsidP="0006078E">
            <w:pPr>
              <w:spacing w:after="120"/>
              <w:cnfStyle w:val="000000000000" w:firstRow="0" w:lastRow="0" w:firstColumn="0" w:lastColumn="0" w:oddVBand="0" w:evenVBand="0" w:oddHBand="0" w:evenHBand="0" w:firstRowFirstColumn="0" w:firstRowLastColumn="0" w:lastRowFirstColumn="0" w:lastRowLastColumn="0"/>
              <w:rPr>
                <w:b/>
                <w:sz w:val="16"/>
                <w:szCs w:val="16"/>
              </w:rPr>
            </w:pPr>
            <w:r>
              <w:rPr>
                <w:b/>
                <w:color w:val="000000" w:themeColor="text1"/>
                <w:sz w:val="16"/>
                <w:szCs w:val="16"/>
              </w:rPr>
              <w:t>Do 9</w:t>
            </w:r>
            <w:r w:rsidRPr="00A81478">
              <w:rPr>
                <w:b/>
                <w:color w:val="000000" w:themeColor="text1"/>
                <w:sz w:val="16"/>
                <w:szCs w:val="16"/>
              </w:rPr>
              <w:t xml:space="preserve"> měsíců </w:t>
            </w:r>
            <w:r w:rsidRPr="00A81478">
              <w:rPr>
                <w:sz w:val="16"/>
                <w:szCs w:val="16"/>
              </w:rPr>
              <w:t>od</w:t>
            </w:r>
            <w:r>
              <w:rPr>
                <w:sz w:val="16"/>
                <w:szCs w:val="16"/>
              </w:rPr>
              <w:t xml:space="preserve"> </w:t>
            </w:r>
            <w:r w:rsidR="006F6CDE" w:rsidRPr="00A81478">
              <w:rPr>
                <w:sz w:val="16"/>
                <w:szCs w:val="16"/>
              </w:rPr>
              <w:t>nabytí účinnosti Smlouvy</w:t>
            </w:r>
          </w:p>
        </w:tc>
        <w:tc>
          <w:tcPr>
            <w:tcW w:w="2435" w:type="dxa"/>
          </w:tcPr>
          <w:p w14:paraId="3A584E8A" w14:textId="77777777" w:rsidR="0006078E" w:rsidRPr="00A81478" w:rsidRDefault="0006078E" w:rsidP="0006078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A81478">
              <w:rPr>
                <w:color w:val="000000" w:themeColor="text1"/>
                <w:sz w:val="16"/>
                <w:szCs w:val="16"/>
              </w:rPr>
              <w:t>Dokladová část.</w:t>
            </w:r>
          </w:p>
        </w:tc>
        <w:tc>
          <w:tcPr>
            <w:tcW w:w="2126" w:type="dxa"/>
          </w:tcPr>
          <w:p w14:paraId="68C9D102" w14:textId="7720F012" w:rsidR="0006078E" w:rsidRPr="00A81478" w:rsidRDefault="0006078E" w:rsidP="0006078E">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A81478">
              <w:rPr>
                <w:color w:val="000000" w:themeColor="text1"/>
                <w:sz w:val="16"/>
                <w:szCs w:val="16"/>
              </w:rPr>
              <w:t>Předá</w:t>
            </w:r>
            <w:r>
              <w:rPr>
                <w:color w:val="000000" w:themeColor="text1"/>
                <w:sz w:val="16"/>
                <w:szCs w:val="16"/>
              </w:rPr>
              <w:t xml:space="preserve">ní </w:t>
            </w:r>
            <w:r w:rsidRPr="00A81478">
              <w:rPr>
                <w:color w:val="000000" w:themeColor="text1"/>
                <w:sz w:val="16"/>
                <w:szCs w:val="16"/>
              </w:rPr>
              <w:t>dokladové části.</w:t>
            </w:r>
          </w:p>
        </w:tc>
      </w:tr>
      <w:bookmarkEnd w:id="4"/>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7DA32" w14:textId="77777777" w:rsidR="0028757E" w:rsidRDefault="0028757E" w:rsidP="00962258">
      <w:pPr>
        <w:spacing w:after="0" w:line="240" w:lineRule="auto"/>
      </w:pPr>
      <w:r>
        <w:separator/>
      </w:r>
    </w:p>
  </w:endnote>
  <w:endnote w:type="continuationSeparator" w:id="0">
    <w:p w14:paraId="7D2014DC" w14:textId="77777777" w:rsidR="0028757E" w:rsidRDefault="002875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5F9995C6"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2B3A">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4973DA">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5D96C01D" w:rsidR="00F22A59" w:rsidRDefault="00CE5685" w:rsidP="00F422D3">
          <w:pPr>
            <w:pStyle w:val="Zpat0"/>
          </w:pPr>
          <w:r w:rsidRPr="00CE5685">
            <w:rPr>
              <w:sz w:val="14"/>
            </w:rPr>
            <w:t xml:space="preserve">Vypracování projektové dokumentace „Oprava kolejí a výhybek v </w:t>
          </w:r>
          <w:proofErr w:type="spellStart"/>
          <w:r w:rsidRPr="00CE5685">
            <w:rPr>
              <w:sz w:val="14"/>
            </w:rPr>
            <w:t>žst</w:t>
          </w:r>
          <w:proofErr w:type="spellEnd"/>
          <w:r w:rsidRPr="00CE5685">
            <w:rPr>
              <w:sz w:val="14"/>
            </w:rPr>
            <w:t>. Meziměstí</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0D30125B" w:rsidR="00F22A59" w:rsidRDefault="00CE5685" w:rsidP="00566EF0">
          <w:pPr>
            <w:pStyle w:val="Zpat0"/>
          </w:pPr>
          <w:r w:rsidRPr="00CE5685">
            <w:rPr>
              <w:sz w:val="14"/>
            </w:rPr>
            <w:t xml:space="preserve">Vypracování projektové dokumentace „Oprava kolejí a výhybek v </w:t>
          </w:r>
          <w:proofErr w:type="spellStart"/>
          <w:r w:rsidRPr="00CE5685">
            <w:rPr>
              <w:sz w:val="14"/>
            </w:rPr>
            <w:t>žst</w:t>
          </w:r>
          <w:proofErr w:type="spellEnd"/>
          <w:r w:rsidRPr="00CE5685">
            <w:rPr>
              <w:sz w:val="14"/>
            </w:rPr>
            <w:t>. Meziměstí</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34F2" w14:textId="77777777" w:rsidR="0028757E" w:rsidRDefault="0028757E" w:rsidP="00962258">
      <w:pPr>
        <w:spacing w:after="0" w:line="240" w:lineRule="auto"/>
      </w:pPr>
      <w:r>
        <w:separator/>
      </w:r>
    </w:p>
  </w:footnote>
  <w:footnote w:type="continuationSeparator" w:id="0">
    <w:p w14:paraId="6F32666C" w14:textId="77777777" w:rsidR="0028757E" w:rsidRDefault="0028757E" w:rsidP="00962258">
      <w:pPr>
        <w:spacing w:after="0" w:line="240" w:lineRule="auto"/>
      </w:pPr>
      <w:r>
        <w:continuationSeparator/>
      </w:r>
    </w:p>
  </w:footnote>
  <w:footnote w:id="1">
    <w:p w14:paraId="1E349B71" w14:textId="77777777" w:rsidR="00AD34E6" w:rsidRDefault="00AD34E6" w:rsidP="00AD34E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7030699">
    <w:abstractNumId w:val="4"/>
  </w:num>
  <w:num w:numId="2" w16cid:durableId="1580359971">
    <w:abstractNumId w:val="1"/>
  </w:num>
  <w:num w:numId="3" w16cid:durableId="1477800726">
    <w:abstractNumId w:val="13"/>
  </w:num>
  <w:num w:numId="4" w16cid:durableId="1258906449">
    <w:abstractNumId w:val="7"/>
  </w:num>
  <w:num w:numId="5" w16cid:durableId="1679457473">
    <w:abstractNumId w:val="0"/>
  </w:num>
  <w:num w:numId="6" w16cid:durableId="841093004">
    <w:abstractNumId w:val="8"/>
  </w:num>
  <w:num w:numId="7" w16cid:durableId="36783061">
    <w:abstractNumId w:val="10"/>
  </w:num>
  <w:num w:numId="8" w16cid:durableId="1425691424">
    <w:abstractNumId w:val="11"/>
  </w:num>
  <w:num w:numId="9" w16cid:durableId="1202595084">
    <w:abstractNumId w:val="3"/>
  </w:num>
  <w:num w:numId="10" w16cid:durableId="318727988">
    <w:abstractNumId w:val="14"/>
  </w:num>
  <w:num w:numId="11" w16cid:durableId="1103957318">
    <w:abstractNumId w:val="9"/>
  </w:num>
  <w:num w:numId="12" w16cid:durableId="2098943678">
    <w:abstractNumId w:val="12"/>
  </w:num>
  <w:num w:numId="13" w16cid:durableId="1214081565">
    <w:abstractNumId w:val="2"/>
  </w:num>
  <w:num w:numId="14" w16cid:durableId="1683048147">
    <w:abstractNumId w:val="5"/>
  </w:num>
  <w:num w:numId="15" w16cid:durableId="76974177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078E"/>
    <w:rsid w:val="00062483"/>
    <w:rsid w:val="0006588D"/>
    <w:rsid w:val="00067A5E"/>
    <w:rsid w:val="000719BB"/>
    <w:rsid w:val="00072A65"/>
    <w:rsid w:val="00072C1E"/>
    <w:rsid w:val="00083273"/>
    <w:rsid w:val="00092F49"/>
    <w:rsid w:val="00093642"/>
    <w:rsid w:val="00096932"/>
    <w:rsid w:val="000A06F1"/>
    <w:rsid w:val="000A2B3A"/>
    <w:rsid w:val="000A4B9F"/>
    <w:rsid w:val="000B4EB8"/>
    <w:rsid w:val="000B551A"/>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8757E"/>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3D3"/>
    <w:rsid w:val="00394FF4"/>
    <w:rsid w:val="00395432"/>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973DA"/>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26FD"/>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3D66"/>
    <w:rsid w:val="006E055F"/>
    <w:rsid w:val="006E0578"/>
    <w:rsid w:val="006E314D"/>
    <w:rsid w:val="006E59EF"/>
    <w:rsid w:val="006F6CDE"/>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27FA"/>
    <w:rsid w:val="008A3568"/>
    <w:rsid w:val="008B075C"/>
    <w:rsid w:val="008B288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56FE"/>
    <w:rsid w:val="00A77512"/>
    <w:rsid w:val="00A94C2F"/>
    <w:rsid w:val="00A97C2D"/>
    <w:rsid w:val="00AA4CBB"/>
    <w:rsid w:val="00AA65FA"/>
    <w:rsid w:val="00AA7351"/>
    <w:rsid w:val="00AA7AB8"/>
    <w:rsid w:val="00AD056F"/>
    <w:rsid w:val="00AD0C7B"/>
    <w:rsid w:val="00AD34E6"/>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CE5685"/>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1B70"/>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4386"/>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EE6E028-93FD-45C2-8A57-90309685B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14</Pages>
  <Words>5231</Words>
  <Characters>30863</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2020-12-17T06:12:00Z</cp:lastPrinted>
  <dcterms:created xsi:type="dcterms:W3CDTF">2023-06-19T13:16:00Z</dcterms:created>
  <dcterms:modified xsi:type="dcterms:W3CDTF">2023-06-22T09:29:00Z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